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872" w:type="dxa"/>
        <w:tblCellMar>
          <w:left w:w="0" w:type="dxa"/>
          <w:right w:w="0" w:type="dxa"/>
        </w:tblCellMar>
        <w:tblLook w:val="04A0"/>
      </w:tblPr>
      <w:tblGrid>
        <w:gridCol w:w="4487"/>
        <w:gridCol w:w="7385"/>
      </w:tblGrid>
      <w:tr w:rsidR="008A6666" w:rsidRPr="00B614C1" w:rsidTr="00B32DF1">
        <w:tc>
          <w:tcPr>
            <w:tcW w:w="3345" w:type="dxa"/>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color w:val="000000"/>
                <w:sz w:val="23"/>
                <w:szCs w:val="23"/>
              </w:rPr>
              <w:t>ỦY BAN NHÂN DÂN</w:t>
            </w:r>
            <w:r w:rsidRPr="00B614C1">
              <w:rPr>
                <w:rFonts w:ascii="Arial" w:eastAsia="Times New Roman" w:hAnsi="Arial" w:cs="Arial"/>
                <w:b/>
                <w:bCs/>
                <w:color w:val="000000"/>
                <w:sz w:val="23"/>
                <w:szCs w:val="23"/>
              </w:rPr>
              <w:br/>
              <w:t>TỈNH KHÁNH HÒA</w:t>
            </w:r>
            <w:r w:rsidRPr="00B614C1">
              <w:rPr>
                <w:rFonts w:ascii="Arial" w:eastAsia="Times New Roman" w:hAnsi="Arial" w:cs="Arial"/>
                <w:b/>
                <w:bCs/>
                <w:color w:val="000000"/>
                <w:sz w:val="23"/>
                <w:szCs w:val="23"/>
              </w:rPr>
              <w:br/>
              <w:t>-------</w:t>
            </w:r>
          </w:p>
        </w:tc>
        <w:tc>
          <w:tcPr>
            <w:tcW w:w="5505" w:type="dxa"/>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color w:val="000000"/>
                <w:sz w:val="23"/>
                <w:szCs w:val="23"/>
              </w:rPr>
              <w:t>CỘNG HÒA XÃ HỘI CHỦ NGHĨA VIỆT NAM</w:t>
            </w:r>
            <w:r w:rsidRPr="00B614C1">
              <w:rPr>
                <w:rFonts w:ascii="Arial" w:eastAsia="Times New Roman" w:hAnsi="Arial" w:cs="Arial"/>
                <w:b/>
                <w:bCs/>
                <w:color w:val="000000"/>
                <w:sz w:val="23"/>
                <w:szCs w:val="23"/>
              </w:rPr>
              <w:br/>
              <w:t>Độc lập - Tự do - Hạnh phúc</w:t>
            </w:r>
            <w:r w:rsidRPr="00B614C1">
              <w:rPr>
                <w:rFonts w:ascii="Arial" w:eastAsia="Times New Roman" w:hAnsi="Arial" w:cs="Arial"/>
                <w:b/>
                <w:bCs/>
                <w:color w:val="000000"/>
                <w:sz w:val="23"/>
                <w:szCs w:val="23"/>
              </w:rPr>
              <w:br/>
              <w:t>---------------</w:t>
            </w:r>
          </w:p>
        </w:tc>
      </w:tr>
      <w:tr w:rsidR="008A6666" w:rsidRPr="00B614C1" w:rsidTr="00B32DF1">
        <w:tc>
          <w:tcPr>
            <w:tcW w:w="3345" w:type="dxa"/>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Số: 29/2017/QĐ-UBND</w:t>
            </w:r>
          </w:p>
        </w:tc>
        <w:tc>
          <w:tcPr>
            <w:tcW w:w="5505" w:type="dxa"/>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i/>
                <w:iCs/>
                <w:color w:val="000000"/>
                <w:sz w:val="23"/>
                <w:szCs w:val="23"/>
              </w:rPr>
              <w:t>Khánh Hòa, ngày 21 tháng 12 năm 2017</w:t>
            </w:r>
          </w:p>
        </w:tc>
      </w:tr>
    </w:tbl>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w:t>
      </w:r>
    </w:p>
    <w:p w:rsidR="008A6666" w:rsidRPr="00B614C1" w:rsidRDefault="008A6666" w:rsidP="008A6666">
      <w:pPr>
        <w:shd w:val="clear" w:color="auto" w:fill="FEFAF4"/>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color w:val="000000"/>
          <w:sz w:val="23"/>
          <w:szCs w:val="23"/>
        </w:rPr>
        <w:t>QUYẾT ĐỊNH</w:t>
      </w:r>
    </w:p>
    <w:p w:rsidR="008A6666" w:rsidRPr="00B614C1" w:rsidRDefault="008A6666" w:rsidP="008A6666">
      <w:pPr>
        <w:shd w:val="clear" w:color="auto" w:fill="FEFAF4"/>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VỀ QUY ĐỊNH HỆ SỐ ĐIỀU CHỈNH GIÁ ĐẤT NĂM 2018 TRÊN ĐỊA BÀN TỈNH KHÁNH HÒA</w:t>
      </w:r>
    </w:p>
    <w:p w:rsidR="008A6666" w:rsidRPr="00B614C1" w:rsidRDefault="008A6666" w:rsidP="008A6666">
      <w:pPr>
        <w:shd w:val="clear" w:color="auto" w:fill="FEFAF4"/>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color w:val="000000"/>
          <w:sz w:val="23"/>
          <w:szCs w:val="23"/>
        </w:rPr>
        <w:t>ỦY BAN NHÂN DÂN TỈNH KHÁNH HÒA</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i/>
          <w:iCs/>
          <w:color w:val="000000"/>
          <w:sz w:val="23"/>
          <w:szCs w:val="23"/>
        </w:rPr>
        <w:t>Căn cứ Luật tổ chức chính quyền địa phương ngày 19 tháng 6 năm 2015;</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i/>
          <w:iCs/>
          <w:color w:val="000000"/>
          <w:sz w:val="23"/>
          <w:szCs w:val="23"/>
        </w:rPr>
        <w:t>Căn cứ Luật ban hành văn bản quy phạm pháp luật ngày 22 tháng 6 năm 2015;</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i/>
          <w:iCs/>
          <w:color w:val="000000"/>
          <w:sz w:val="23"/>
          <w:szCs w:val="23"/>
        </w:rPr>
        <w:t>Căn cứ Luật Đất đai ngày 29 tháng 11 năm 2013;</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i/>
          <w:iCs/>
          <w:color w:val="000000"/>
          <w:sz w:val="23"/>
          <w:szCs w:val="23"/>
        </w:rPr>
        <w:t>Căn cứ Nghị định số </w:t>
      </w:r>
      <w:hyperlink r:id="rId4" w:tgtFrame="_blank" w:tooltip="Nghị định 44/2014/NĐ-CP" w:history="1">
        <w:r w:rsidRPr="00B614C1">
          <w:rPr>
            <w:rFonts w:ascii="Arial" w:eastAsia="Times New Roman" w:hAnsi="Arial" w:cs="Arial"/>
            <w:i/>
            <w:iCs/>
            <w:color w:val="0000FF"/>
            <w:sz w:val="23"/>
          </w:rPr>
          <w:t>44/2014/NĐ-CP</w:t>
        </w:r>
      </w:hyperlink>
      <w:r w:rsidRPr="00B614C1">
        <w:rPr>
          <w:rFonts w:ascii="Arial" w:eastAsia="Times New Roman" w:hAnsi="Arial" w:cs="Arial"/>
          <w:i/>
          <w:iCs/>
          <w:color w:val="000000"/>
          <w:sz w:val="23"/>
          <w:szCs w:val="23"/>
        </w:rPr>
        <w:t> ngày 15 tháng 5 năm 2014 của Chính phủ quy định về giá đất;</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i/>
          <w:iCs/>
          <w:color w:val="000000"/>
          <w:sz w:val="23"/>
          <w:szCs w:val="23"/>
        </w:rPr>
        <w:t>Căn cứ Nghị định số 45/2014/NĐ-CP ngày 15 tháng 5 năm 2014 của Chính phủ quy định về thu tiền sử dụng đất;</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i/>
          <w:iCs/>
          <w:color w:val="000000"/>
          <w:sz w:val="23"/>
          <w:szCs w:val="23"/>
        </w:rPr>
        <w:t>Căn cứ Nghị định số </w:t>
      </w:r>
      <w:hyperlink r:id="rId5" w:tgtFrame="_blank" w:tooltip="Nghị định 46/2014/NĐ-CP" w:history="1">
        <w:r w:rsidRPr="00B614C1">
          <w:rPr>
            <w:rFonts w:ascii="Arial" w:eastAsia="Times New Roman" w:hAnsi="Arial" w:cs="Arial"/>
            <w:i/>
            <w:iCs/>
            <w:color w:val="0000FF"/>
            <w:sz w:val="23"/>
          </w:rPr>
          <w:t>46/2014/NĐ-CP</w:t>
        </w:r>
      </w:hyperlink>
      <w:r w:rsidRPr="00B614C1">
        <w:rPr>
          <w:rFonts w:ascii="Arial" w:eastAsia="Times New Roman" w:hAnsi="Arial" w:cs="Arial"/>
          <w:i/>
          <w:iCs/>
          <w:color w:val="000000"/>
          <w:sz w:val="23"/>
          <w:szCs w:val="23"/>
        </w:rPr>
        <w:t> ngày 15 tháng 5 năm 2014 của Chính phủ quy định về thu tiền thuê đất, thuê mặt nước;</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i/>
          <w:iCs/>
          <w:color w:val="000000"/>
          <w:sz w:val="23"/>
          <w:szCs w:val="23"/>
        </w:rPr>
        <w:t>Căn cứ Nghị định số </w:t>
      </w:r>
      <w:hyperlink r:id="rId6" w:tgtFrame="_blank" w:tooltip="Nghị định 35/2017/NĐ-CP" w:history="1">
        <w:r w:rsidRPr="00B614C1">
          <w:rPr>
            <w:rFonts w:ascii="Arial" w:eastAsia="Times New Roman" w:hAnsi="Arial" w:cs="Arial"/>
            <w:i/>
            <w:iCs/>
            <w:color w:val="0000FF"/>
            <w:sz w:val="23"/>
          </w:rPr>
          <w:t>35/2017/NĐ-CP</w:t>
        </w:r>
      </w:hyperlink>
      <w:r w:rsidRPr="00B614C1">
        <w:rPr>
          <w:rFonts w:ascii="Arial" w:eastAsia="Times New Roman" w:hAnsi="Arial" w:cs="Arial"/>
          <w:i/>
          <w:iCs/>
          <w:color w:val="000000"/>
          <w:sz w:val="23"/>
          <w:szCs w:val="23"/>
        </w:rPr>
        <w:t> ngày 03 tháng 4 năm 2017 của Chính phủ quy định về thu tiền sử dụng đất, thu tiền thuê đất, thuê mặt nước trong khu kinh tế, khu công nghệ cao;</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i/>
          <w:iCs/>
          <w:color w:val="000000"/>
          <w:sz w:val="23"/>
          <w:szCs w:val="23"/>
        </w:rPr>
        <w:t>Căn cứ Nghị định số </w:t>
      </w:r>
      <w:hyperlink r:id="rId7" w:tgtFrame="_blank" w:tooltip="Nghị định 135/2016/NĐ-CP" w:history="1">
        <w:r w:rsidRPr="00B614C1">
          <w:rPr>
            <w:rFonts w:ascii="Arial" w:eastAsia="Times New Roman" w:hAnsi="Arial" w:cs="Arial"/>
            <w:i/>
            <w:iCs/>
            <w:color w:val="0000FF"/>
            <w:sz w:val="23"/>
          </w:rPr>
          <w:t>135/2016/NĐ-CP</w:t>
        </w:r>
      </w:hyperlink>
      <w:r w:rsidRPr="00B614C1">
        <w:rPr>
          <w:rFonts w:ascii="Arial" w:eastAsia="Times New Roman" w:hAnsi="Arial" w:cs="Arial"/>
          <w:i/>
          <w:iCs/>
          <w:color w:val="000000"/>
          <w:sz w:val="23"/>
          <w:szCs w:val="23"/>
        </w:rPr>
        <w:t> ngày 09 tháng 9 năm 2016 của Chính phủ sửa đổi bổ sung một số điều của các Nghị định quy định thu tiền sử dụng đất, thu tiền thuê đất, thuê mặt nước;</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i/>
          <w:iCs/>
          <w:color w:val="000000"/>
          <w:sz w:val="23"/>
          <w:szCs w:val="23"/>
        </w:rPr>
        <w:t>Căn cứ Nghị định số 01/2017/NĐ-CP ngày 06 tháng 01 năm 2017 của Chính phủ sửa đổi, bổ sung một số Nghị định quy định chi tiết thi hành Luật Đất đai;</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i/>
          <w:iCs/>
          <w:color w:val="000000"/>
          <w:sz w:val="23"/>
          <w:szCs w:val="23"/>
        </w:rPr>
        <w:t>Căn cứ Nghị định số </w:t>
      </w:r>
      <w:hyperlink r:id="rId8" w:tgtFrame="_blank" w:tooltip="Nghị định 123/2017/NĐ-CP" w:history="1">
        <w:r w:rsidRPr="00B614C1">
          <w:rPr>
            <w:rFonts w:ascii="Arial" w:eastAsia="Times New Roman" w:hAnsi="Arial" w:cs="Arial"/>
            <w:i/>
            <w:iCs/>
            <w:color w:val="0000FF"/>
            <w:sz w:val="23"/>
          </w:rPr>
          <w:t>123/2017/NĐ-CP</w:t>
        </w:r>
      </w:hyperlink>
      <w:r w:rsidRPr="00B614C1">
        <w:rPr>
          <w:rFonts w:ascii="Arial" w:eastAsia="Times New Roman" w:hAnsi="Arial" w:cs="Arial"/>
          <w:i/>
          <w:iCs/>
          <w:color w:val="000000"/>
          <w:sz w:val="23"/>
          <w:szCs w:val="23"/>
        </w:rPr>
        <w:t> ngày 14 tháng 11 năm 2017 của Chính phủ sửa đổi bổ sung một số điều của các Nghị định quy định thu tiền sử dụng đất, thu tiền thuê đất, thuê mặt nước;</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i/>
          <w:iCs/>
          <w:color w:val="000000"/>
          <w:sz w:val="23"/>
          <w:szCs w:val="23"/>
        </w:rPr>
        <w:t>Căn cứ Thông tư số </w:t>
      </w:r>
      <w:hyperlink r:id="rId9" w:tgtFrame="_blank" w:tooltip="Thông tư 76/2014/TT-BTC" w:history="1">
        <w:r w:rsidRPr="00B614C1">
          <w:rPr>
            <w:rFonts w:ascii="Arial" w:eastAsia="Times New Roman" w:hAnsi="Arial" w:cs="Arial"/>
            <w:i/>
            <w:iCs/>
            <w:color w:val="0000FF"/>
            <w:sz w:val="23"/>
          </w:rPr>
          <w:t>76/2014/TT-BTC</w:t>
        </w:r>
      </w:hyperlink>
      <w:r w:rsidRPr="00B614C1">
        <w:rPr>
          <w:rFonts w:ascii="Arial" w:eastAsia="Times New Roman" w:hAnsi="Arial" w:cs="Arial"/>
          <w:i/>
          <w:iCs/>
          <w:color w:val="000000"/>
          <w:sz w:val="23"/>
          <w:szCs w:val="23"/>
        </w:rPr>
        <w:t> ngày 16 tháng 6 năm 2014 của Bộ trưởng Bộ Tài chính hướng dẫn một số điều của Nghị định số </w:t>
      </w:r>
      <w:hyperlink r:id="rId10" w:tgtFrame="_blank" w:tooltip="Nghị định 45/2014/NĐ-CP" w:history="1">
        <w:r w:rsidRPr="00B614C1">
          <w:rPr>
            <w:rFonts w:ascii="Arial" w:eastAsia="Times New Roman" w:hAnsi="Arial" w:cs="Arial"/>
            <w:i/>
            <w:iCs/>
            <w:color w:val="0000FF"/>
            <w:sz w:val="23"/>
          </w:rPr>
          <w:t>45/2014/NĐ-CP</w:t>
        </w:r>
      </w:hyperlink>
      <w:r w:rsidRPr="00B614C1">
        <w:rPr>
          <w:rFonts w:ascii="Arial" w:eastAsia="Times New Roman" w:hAnsi="Arial" w:cs="Arial"/>
          <w:i/>
          <w:iCs/>
          <w:color w:val="000000"/>
          <w:sz w:val="23"/>
          <w:szCs w:val="23"/>
        </w:rPr>
        <w:t> ngày 15 tháng 5 năm 2014 của Chính phủ quy định về thu tiền sử dụng đất;</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i/>
          <w:iCs/>
          <w:color w:val="000000"/>
          <w:sz w:val="23"/>
          <w:szCs w:val="23"/>
        </w:rPr>
        <w:t>Căn cứ Thông tư số </w:t>
      </w:r>
      <w:hyperlink r:id="rId11" w:tgtFrame="_blank" w:tooltip="Thông tư 332/2016/TT-BTC" w:history="1">
        <w:r w:rsidRPr="00B614C1">
          <w:rPr>
            <w:rFonts w:ascii="Arial" w:eastAsia="Times New Roman" w:hAnsi="Arial" w:cs="Arial"/>
            <w:i/>
            <w:iCs/>
            <w:color w:val="0000FF"/>
            <w:sz w:val="23"/>
          </w:rPr>
          <w:t>332/2016/TT-BTC</w:t>
        </w:r>
      </w:hyperlink>
      <w:r w:rsidRPr="00B614C1">
        <w:rPr>
          <w:rFonts w:ascii="Arial" w:eastAsia="Times New Roman" w:hAnsi="Arial" w:cs="Arial"/>
          <w:i/>
          <w:iCs/>
          <w:color w:val="000000"/>
          <w:sz w:val="23"/>
          <w:szCs w:val="23"/>
        </w:rPr>
        <w:t> ngày 26 tháng 12 năm 2016 của Bộ trưởng Bộ Tài chính sửa đổi, bổ sung một số điều của Thông tư số </w:t>
      </w:r>
      <w:hyperlink r:id="rId12" w:tgtFrame="_blank" w:tooltip="Thông tư 76/2014/TT-BTC" w:history="1">
        <w:r w:rsidRPr="00B614C1">
          <w:rPr>
            <w:rFonts w:ascii="Arial" w:eastAsia="Times New Roman" w:hAnsi="Arial" w:cs="Arial"/>
            <w:i/>
            <w:iCs/>
            <w:color w:val="0000FF"/>
            <w:sz w:val="23"/>
          </w:rPr>
          <w:t>76/2014/TT-BTC</w:t>
        </w:r>
      </w:hyperlink>
      <w:r w:rsidRPr="00B614C1">
        <w:rPr>
          <w:rFonts w:ascii="Arial" w:eastAsia="Times New Roman" w:hAnsi="Arial" w:cs="Arial"/>
          <w:i/>
          <w:iCs/>
          <w:color w:val="000000"/>
          <w:sz w:val="23"/>
          <w:szCs w:val="23"/>
        </w:rPr>
        <w:t> ngày 16 tháng 6 năm 2014 của Bộ Tài chính hướng dẫn thực hiện Nghị định </w:t>
      </w:r>
      <w:hyperlink r:id="rId13" w:tgtFrame="_blank" w:tooltip="Nghị định 45/2014/NĐ-CP" w:history="1">
        <w:r w:rsidRPr="00B614C1">
          <w:rPr>
            <w:rFonts w:ascii="Arial" w:eastAsia="Times New Roman" w:hAnsi="Arial" w:cs="Arial"/>
            <w:i/>
            <w:iCs/>
            <w:color w:val="0000FF"/>
            <w:sz w:val="23"/>
          </w:rPr>
          <w:t>45/2014/NĐ-CP</w:t>
        </w:r>
      </w:hyperlink>
      <w:r w:rsidRPr="00B614C1">
        <w:rPr>
          <w:rFonts w:ascii="Arial" w:eastAsia="Times New Roman" w:hAnsi="Arial" w:cs="Arial"/>
          <w:i/>
          <w:iCs/>
          <w:color w:val="000000"/>
          <w:sz w:val="23"/>
          <w:szCs w:val="23"/>
        </w:rPr>
        <w:t> ngày 15/5/2014 của Chính phủ về tiền sử dụng đất;</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i/>
          <w:iCs/>
          <w:color w:val="000000"/>
          <w:sz w:val="23"/>
          <w:szCs w:val="23"/>
        </w:rPr>
        <w:lastRenderedPageBreak/>
        <w:t>Căn cứ Thông tư số 77/2014/TT-BTC ngày 16 tháng 6 năm 2014 của Bộ trưởng Bộ Tài chính hướng dẫn một số điều của Nghị định </w:t>
      </w:r>
      <w:hyperlink r:id="rId14" w:tgtFrame="_blank" w:tooltip="Nghị định 46/2014/NĐ-CP" w:history="1">
        <w:r w:rsidRPr="00B614C1">
          <w:rPr>
            <w:rFonts w:ascii="Arial" w:eastAsia="Times New Roman" w:hAnsi="Arial" w:cs="Arial"/>
            <w:i/>
            <w:iCs/>
            <w:color w:val="0000FF"/>
            <w:sz w:val="23"/>
          </w:rPr>
          <w:t>46/2014/NĐ-CP</w:t>
        </w:r>
      </w:hyperlink>
      <w:r w:rsidRPr="00B614C1">
        <w:rPr>
          <w:rFonts w:ascii="Arial" w:eastAsia="Times New Roman" w:hAnsi="Arial" w:cs="Arial"/>
          <w:i/>
          <w:iCs/>
          <w:color w:val="000000"/>
          <w:sz w:val="23"/>
          <w:szCs w:val="23"/>
        </w:rPr>
        <w:t> ngày 15 tháng 5 năm 2014 của Chính phủ về thu tiền thuê đất, thuê mặt nước</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i/>
          <w:iCs/>
          <w:color w:val="000000"/>
          <w:sz w:val="23"/>
          <w:szCs w:val="23"/>
        </w:rPr>
        <w:t>Căn cứ Thông tư số 333/2016/TT-BTC ngày 26 tháng 12 năm 2016 của Bộ trưởng Bộ Tài chính sửa đổi, bổ sung một số điều của Thông tư số </w:t>
      </w:r>
      <w:hyperlink r:id="rId15" w:tgtFrame="_blank" w:tooltip="Thông tư 77/2014/TT-BTC" w:history="1">
        <w:r w:rsidRPr="00B614C1">
          <w:rPr>
            <w:rFonts w:ascii="Arial" w:eastAsia="Times New Roman" w:hAnsi="Arial" w:cs="Arial"/>
            <w:i/>
            <w:iCs/>
            <w:color w:val="0000FF"/>
            <w:sz w:val="23"/>
          </w:rPr>
          <w:t>77/2014/TT-BTC</w:t>
        </w:r>
      </w:hyperlink>
      <w:r w:rsidRPr="00B614C1">
        <w:rPr>
          <w:rFonts w:ascii="Arial" w:eastAsia="Times New Roman" w:hAnsi="Arial" w:cs="Arial"/>
          <w:i/>
          <w:iCs/>
          <w:color w:val="000000"/>
          <w:sz w:val="23"/>
          <w:szCs w:val="23"/>
        </w:rPr>
        <w:t> ngày 16 tháng 6 năm 2014 của Bộ Tài chính hướng dẫn một số điều của Nghị định </w:t>
      </w:r>
      <w:hyperlink r:id="rId16" w:tgtFrame="_blank" w:tooltip="Nghị định 46/2014/NĐ-CP" w:history="1">
        <w:r w:rsidRPr="00B614C1">
          <w:rPr>
            <w:rFonts w:ascii="Arial" w:eastAsia="Times New Roman" w:hAnsi="Arial" w:cs="Arial"/>
            <w:i/>
            <w:iCs/>
            <w:color w:val="0000FF"/>
            <w:sz w:val="23"/>
          </w:rPr>
          <w:t>46/2014/NĐ-CP</w:t>
        </w:r>
      </w:hyperlink>
      <w:r w:rsidRPr="00B614C1">
        <w:rPr>
          <w:rFonts w:ascii="Arial" w:eastAsia="Times New Roman" w:hAnsi="Arial" w:cs="Arial"/>
          <w:i/>
          <w:iCs/>
          <w:color w:val="000000"/>
          <w:sz w:val="23"/>
          <w:szCs w:val="23"/>
        </w:rPr>
        <w:t> ngày 15/5/2014 của Chính phủ về tiền thuê đất, thuê mặt nước</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i/>
          <w:iCs/>
          <w:color w:val="000000"/>
          <w:sz w:val="23"/>
          <w:szCs w:val="23"/>
        </w:rPr>
        <w:t>Căn cứ Thông tư số </w:t>
      </w:r>
      <w:hyperlink r:id="rId17" w:tgtFrame="_blank" w:tooltip="Thông tư 36/2014/TT-BTNMT" w:history="1">
        <w:r w:rsidRPr="00B614C1">
          <w:rPr>
            <w:rFonts w:ascii="Arial" w:eastAsia="Times New Roman" w:hAnsi="Arial" w:cs="Arial"/>
            <w:i/>
            <w:iCs/>
            <w:color w:val="0000FF"/>
            <w:sz w:val="23"/>
          </w:rPr>
          <w:t>36/2014/TT-BTNMT</w:t>
        </w:r>
      </w:hyperlink>
      <w:r w:rsidRPr="00B614C1">
        <w:rPr>
          <w:rFonts w:ascii="Arial" w:eastAsia="Times New Roman" w:hAnsi="Arial" w:cs="Arial"/>
          <w:i/>
          <w:iCs/>
          <w:color w:val="000000"/>
          <w:sz w:val="23"/>
          <w:szCs w:val="23"/>
        </w:rPr>
        <w:t> ngày 30 tháng 6 năm 2014 của Bộ trưởng Bộ Tài nguyên và Môi trường Quy định chi tiết phương pháp định giá đất xây dựng, điều chỉnh bảng giá đất; định giá đất cụ thể và tư vấn xác định giá đất</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i/>
          <w:iCs/>
          <w:color w:val="000000"/>
          <w:sz w:val="23"/>
          <w:szCs w:val="23"/>
        </w:rPr>
        <w:t>Căn cứ Thông tư số </w:t>
      </w:r>
      <w:hyperlink r:id="rId18" w:tgtFrame="_blank" w:tooltip="Thông tư 89/2017/TT-BTC" w:history="1">
        <w:r w:rsidRPr="00B614C1">
          <w:rPr>
            <w:rFonts w:ascii="Arial" w:eastAsia="Times New Roman" w:hAnsi="Arial" w:cs="Arial"/>
            <w:i/>
            <w:iCs/>
            <w:color w:val="0000FF"/>
            <w:sz w:val="23"/>
          </w:rPr>
          <w:t>89/2017/TT-BTC</w:t>
        </w:r>
      </w:hyperlink>
      <w:r w:rsidRPr="00B614C1">
        <w:rPr>
          <w:rFonts w:ascii="Arial" w:eastAsia="Times New Roman" w:hAnsi="Arial" w:cs="Arial"/>
          <w:i/>
          <w:iCs/>
          <w:color w:val="000000"/>
          <w:sz w:val="23"/>
          <w:szCs w:val="23"/>
        </w:rPr>
        <w:t> ngày 23 tháng 8 năm 2016 của Bộ trưởng Bộ Tài chính hướng dẫn một số điều của Nghị định số </w:t>
      </w:r>
      <w:hyperlink r:id="rId19" w:tgtFrame="_blank" w:tooltip="Nghị định 35/2017/NĐ-CP" w:history="1">
        <w:r w:rsidRPr="00B614C1">
          <w:rPr>
            <w:rFonts w:ascii="Arial" w:eastAsia="Times New Roman" w:hAnsi="Arial" w:cs="Arial"/>
            <w:i/>
            <w:iCs/>
            <w:color w:val="0000FF"/>
            <w:sz w:val="23"/>
          </w:rPr>
          <w:t>35/2017/NĐ-CP</w:t>
        </w:r>
      </w:hyperlink>
      <w:r w:rsidRPr="00B614C1">
        <w:rPr>
          <w:rFonts w:ascii="Arial" w:eastAsia="Times New Roman" w:hAnsi="Arial" w:cs="Arial"/>
          <w:i/>
          <w:iCs/>
          <w:color w:val="000000"/>
          <w:sz w:val="23"/>
          <w:szCs w:val="23"/>
        </w:rPr>
        <w:t> ngày 03 tháng 4 năm 2017 của Chính phủ quy định về thu tiền sử dụng đất, thu tiền thuê đất, thuê mặt nước trong khu kinh tế, khu công nghệ cao;</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i/>
          <w:iCs/>
          <w:color w:val="000000"/>
          <w:sz w:val="23"/>
          <w:szCs w:val="23"/>
        </w:rPr>
        <w:t>Theo đề nghị của Giám đốc Sở Tài chính tại Tờ trình số 4780/</w:t>
      </w:r>
      <w:proofErr w:type="spellStart"/>
      <w:r w:rsidRPr="00B614C1">
        <w:rPr>
          <w:rFonts w:ascii="Arial" w:eastAsia="Times New Roman" w:hAnsi="Arial" w:cs="Arial"/>
          <w:i/>
          <w:iCs/>
          <w:color w:val="000000"/>
          <w:sz w:val="23"/>
          <w:szCs w:val="23"/>
        </w:rPr>
        <w:t>TTr</w:t>
      </w:r>
      <w:proofErr w:type="spellEnd"/>
      <w:r w:rsidRPr="00B614C1">
        <w:rPr>
          <w:rFonts w:ascii="Arial" w:eastAsia="Times New Roman" w:hAnsi="Arial" w:cs="Arial"/>
          <w:i/>
          <w:iCs/>
          <w:color w:val="000000"/>
          <w:sz w:val="23"/>
          <w:szCs w:val="23"/>
        </w:rPr>
        <w:t>-STC ngày 13 tháng 12 năm 2017.</w:t>
      </w:r>
    </w:p>
    <w:p w:rsidR="008A6666" w:rsidRPr="00B614C1" w:rsidRDefault="008A6666" w:rsidP="008A6666">
      <w:pPr>
        <w:shd w:val="clear" w:color="auto" w:fill="FEFAF4"/>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color w:val="000000"/>
          <w:sz w:val="23"/>
          <w:szCs w:val="23"/>
        </w:rPr>
        <w:t>QUYẾT ĐỊNH:</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color w:val="000000"/>
          <w:sz w:val="23"/>
          <w:szCs w:val="23"/>
        </w:rPr>
        <w:t>Điều 1. Phạm vi điều chỉnh</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Quyết định này quy định hệ số điều chỉnh giá đất (K) để xác định giá đất cụ thể để tính tiền sử dụng đất, tiền thuê đất trên địa bàn tỉnh Khánh Hòa trong các trường hợp sau:</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1. Tính thu tiền sử dụng đất, xác định đơn giá thuê đất đối với các trường hợp sau:</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xml:space="preserve">a) Tính thu tiền sử dụng đất, tiền thuê đất đối với các trường hợp quy định tại các Điểm a, b, c và d Khoản 4 Điều 114 của Luật Đất đai mà thửa đất hoặc khu đất của dự án có giá trị (tính theo giá đất trong bảng giá đất) dưới 20 </w:t>
      </w:r>
      <w:proofErr w:type="spellStart"/>
      <w:r w:rsidRPr="00B614C1">
        <w:rPr>
          <w:rFonts w:ascii="Arial" w:eastAsia="Times New Roman" w:hAnsi="Arial" w:cs="Arial"/>
          <w:color w:val="000000"/>
          <w:sz w:val="23"/>
          <w:szCs w:val="23"/>
        </w:rPr>
        <w:t>tỷ</w:t>
      </w:r>
      <w:proofErr w:type="spellEnd"/>
      <w:r w:rsidRPr="00B614C1">
        <w:rPr>
          <w:rFonts w:ascii="Arial" w:eastAsia="Times New Roman" w:hAnsi="Arial" w:cs="Arial"/>
          <w:color w:val="000000"/>
          <w:sz w:val="23"/>
          <w:szCs w:val="23"/>
        </w:rPr>
        <w:t xml:space="preserve"> đồng;</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xml:space="preserve">h) Tính tiền thuê đất đối với trường hợp quy định tại Khoản 2 Điều 172 của Luật Đất đai mà thửa đất hoặc khu đất của dự án có giá trị (tính theo giá đất trong bảng giá đất) dưới 20 </w:t>
      </w:r>
      <w:proofErr w:type="spellStart"/>
      <w:r w:rsidRPr="00B614C1">
        <w:rPr>
          <w:rFonts w:ascii="Arial" w:eastAsia="Times New Roman" w:hAnsi="Arial" w:cs="Arial"/>
          <w:color w:val="000000"/>
          <w:sz w:val="23"/>
          <w:szCs w:val="23"/>
        </w:rPr>
        <w:t>tỷ</w:t>
      </w:r>
      <w:proofErr w:type="spellEnd"/>
      <w:r w:rsidRPr="00B614C1">
        <w:rPr>
          <w:rFonts w:ascii="Arial" w:eastAsia="Times New Roman" w:hAnsi="Arial" w:cs="Arial"/>
          <w:color w:val="000000"/>
          <w:sz w:val="23"/>
          <w:szCs w:val="23"/>
        </w:rPr>
        <w:t xml:space="preserve"> đồng;</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xml:space="preserve">c) Tính tiền thuê đất đối với trường hợp quy định tại Khoản 3 Điều 189 của Luật Đất đai mà thửa đất hoặc khu đất của dự án có giá trị (tính theo giá đất trong bảng giá đất) dưới 20 </w:t>
      </w:r>
      <w:proofErr w:type="spellStart"/>
      <w:r w:rsidRPr="00B614C1">
        <w:rPr>
          <w:rFonts w:ascii="Arial" w:eastAsia="Times New Roman" w:hAnsi="Arial" w:cs="Arial"/>
          <w:color w:val="000000"/>
          <w:sz w:val="23"/>
          <w:szCs w:val="23"/>
        </w:rPr>
        <w:t>tỷ</w:t>
      </w:r>
      <w:proofErr w:type="spellEnd"/>
      <w:r w:rsidRPr="00B614C1">
        <w:rPr>
          <w:rFonts w:ascii="Arial" w:eastAsia="Times New Roman" w:hAnsi="Arial" w:cs="Arial"/>
          <w:color w:val="000000"/>
          <w:sz w:val="23"/>
          <w:szCs w:val="23"/>
        </w:rPr>
        <w:t xml:space="preserve"> đồng;</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d) Tính tiền thuê đất đối với trường hợp thuê đất thu tiền hàng năm mà phải xác định lại đơn giá thuê đất để điều chỉnh cho chu kỳ tiếp theo.</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đ) Giá khởi điểm để đấu giá quyền sử dụng đất khi Nhà nước cho thuê đất thu tiền thuê đất hàng năm;</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xml:space="preserve">e) Giá đất để làm giá khởi điểm đấu giá quyền sử dụng đất khi Nhà nước giao đất có thu tiền sử dụng đất, cho thuê đất thu tiền thuê đất một lần cho cả thời gian thuê mà thửa đất hoặc khu đất của dự án có giá trị (tính theo giá đất trong bảng giá đất) dưới 20 </w:t>
      </w:r>
      <w:proofErr w:type="spellStart"/>
      <w:r w:rsidRPr="00B614C1">
        <w:rPr>
          <w:rFonts w:ascii="Arial" w:eastAsia="Times New Roman" w:hAnsi="Arial" w:cs="Arial"/>
          <w:color w:val="000000"/>
          <w:sz w:val="23"/>
          <w:szCs w:val="23"/>
        </w:rPr>
        <w:t>tỷ</w:t>
      </w:r>
      <w:proofErr w:type="spellEnd"/>
      <w:r w:rsidRPr="00B614C1">
        <w:rPr>
          <w:rFonts w:ascii="Arial" w:eastAsia="Times New Roman" w:hAnsi="Arial" w:cs="Arial"/>
          <w:color w:val="000000"/>
          <w:sz w:val="23"/>
          <w:szCs w:val="23"/>
        </w:rPr>
        <w:t xml:space="preserve"> đồng.</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lastRenderedPageBreak/>
        <w:t>2. Xác định số tiền sử dụng đất được miễn, giảm đối với các trường hợp quy định tại Điều 16 Thông tư số 76/20147TT-BTC ngày 16 tháng 6 năm 2014 của Bộ Trưởng Bộ Tài chính.</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3. Tính thu tiền thuê đất, tiền sử dụng đất không thông qua đấu giá theo quy định tại Điều 4 Thông tư số 89/2017/TT-BTC ngày 23 tháng 8 năm 2016 của Bộ Trưởng Bộ Tài chính.</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color w:val="000000"/>
          <w:sz w:val="23"/>
          <w:szCs w:val="23"/>
        </w:rPr>
        <w:t>Điều 2. Đối tượng áp dụng</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1. Cơ quan thực hiện chức năng quản lý nhà nước về đất đai; cơ quan có chức năng xây dựng, điều chỉnh hệ số điều chỉnh giá đất.</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2. Người sử dụng đất thuộc các đối tượng áp dụng hệ số điều chỉnh giá đất để xác định nghĩa vụ tài chính theo quy định.</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3. Tổ chức, cá nhân khác có liên quan trong việc áp dụng hệ số điều chỉnh giá đất.</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color w:val="000000"/>
          <w:sz w:val="23"/>
          <w:szCs w:val="23"/>
        </w:rPr>
        <w:t>Điều 3. Hệ số điều chỉnh giá đất (K) được quy định cụ thể như sau:</w:t>
      </w:r>
    </w:p>
    <w:tbl>
      <w:tblPr>
        <w:tblW w:w="5000" w:type="pct"/>
        <w:tblCellMar>
          <w:left w:w="0" w:type="dxa"/>
          <w:right w:w="0" w:type="dxa"/>
        </w:tblCellMar>
        <w:tblLook w:val="04A0"/>
      </w:tblPr>
      <w:tblGrid>
        <w:gridCol w:w="857"/>
        <w:gridCol w:w="7599"/>
        <w:gridCol w:w="2033"/>
      </w:tblGrid>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color w:val="000000"/>
                <w:sz w:val="23"/>
                <w:szCs w:val="23"/>
              </w:rPr>
              <w:t>STT</w:t>
            </w:r>
          </w:p>
        </w:tc>
        <w:tc>
          <w:tcPr>
            <w:tcW w:w="35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color w:val="000000"/>
                <w:sz w:val="23"/>
                <w:szCs w:val="23"/>
              </w:rPr>
              <w:t>Loại đất - Địa bàn áp dụng</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color w:val="000000"/>
                <w:sz w:val="23"/>
                <w:szCs w:val="23"/>
              </w:rPr>
              <w:t>Hệ số điều chỉnh giá đất</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color w:val="000000"/>
                <w:sz w:val="23"/>
                <w:szCs w:val="23"/>
              </w:rPr>
              <w:t>A</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color w:val="000000"/>
                <w:sz w:val="23"/>
                <w:szCs w:val="23"/>
              </w:rPr>
              <w:t>ĐẤT NÔNG NGHIỆP</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color w:val="000000"/>
                <w:sz w:val="23"/>
                <w:szCs w:val="23"/>
              </w:rPr>
              <w:t>I</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color w:val="000000"/>
                <w:sz w:val="23"/>
                <w:szCs w:val="23"/>
              </w:rPr>
              <w:t>Đất nông nghiệp trong đô thị</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1</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Thành phố Nha Trang</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phường thuộc thành phố Nha Trang (trừ các đảo thuộc phường Vĩnh Nguyên)</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2,0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đảo thuộc phường Vĩnh Nguyên</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1,5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2</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Thành phố Cam Ranh</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phường: Cam Nghĩa, Cam Phúc Bắc, Cam Phúc Nam, Cam Phú, Cam Thuận, Cam Lộc, Ba Ngòi, Cam Lợi và Cam Linh</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1,6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3</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Thị xã Ninh Hòa</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Phường Ninh Hiệp</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1,6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phường: Ninh Giang, Ninh Hà, Ninh Đa, Ninh Diêm, Ninh Thủy, và Ninh Hải</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1,5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4</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Thị trấn Cam Đức</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1,5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5</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Thị trấn Vạn Giã và Thị trấn Diên Khánh</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1,6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6</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Thị trấn Khánh Vĩnh và thị trấn Tô Hạp</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1,2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color w:val="000000"/>
                <w:sz w:val="23"/>
                <w:szCs w:val="23"/>
              </w:rPr>
              <w:t>II</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color w:val="000000"/>
                <w:sz w:val="23"/>
                <w:szCs w:val="23"/>
              </w:rPr>
              <w:t>Đất nông nghiệp tại nông thôn</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1</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Thành phố Nha Trang</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xã đồng bằng</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1,5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2</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Thành phố Cam Ranh</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xã đồng bằng</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1,5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thôn, xã miền núi</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1,2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3</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Thị xã Ninh Hòa và các huyện: Vạn Ninh, Cam Lâm</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xã đồng bằng</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1,4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thôn, xã miền núi</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1,2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4</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Huyện Diên Khánh</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xã đồng bằng</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xã: Diên An, Diên Toàn, Diên Thạnh</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1,5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lastRenderedPageBreak/>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xã còn lại</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1,3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thôn, xã miền núi</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1,2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5</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Các huyện: Khánh Vĩnh, Khánh Sơn</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thôn, xã miền núi</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1,1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color w:val="000000"/>
                <w:sz w:val="23"/>
                <w:szCs w:val="23"/>
              </w:rPr>
              <w:t>B</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color w:val="000000"/>
                <w:sz w:val="23"/>
                <w:szCs w:val="23"/>
              </w:rPr>
              <w:t>ĐẤT PHI NÔNG NGHIỆP</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color w:val="000000"/>
                <w:sz w:val="23"/>
                <w:szCs w:val="23"/>
              </w:rPr>
              <w:t>I</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color w:val="000000"/>
                <w:sz w:val="23"/>
                <w:szCs w:val="23"/>
              </w:rPr>
              <w:t>Đất ở và đất sản xuất kinh doanh phi nông nghiệp, đất thương mại dịch vụ tại đô thị</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1</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Thành phố Nha Trang</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1.1</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color w:val="000000"/>
                <w:sz w:val="23"/>
                <w:szCs w:val="23"/>
              </w:rPr>
              <w:t>Đất ở</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xml:space="preserve">- Vị trí 1 của đường Trần Phú (đoạn từ Nam cầu Trần Phú đến hết Khách sạn Ana </w:t>
            </w:r>
            <w:proofErr w:type="spellStart"/>
            <w:r w:rsidRPr="00B614C1">
              <w:rPr>
                <w:rFonts w:ascii="Arial" w:eastAsia="Times New Roman" w:hAnsi="Arial" w:cs="Arial"/>
                <w:color w:val="000000"/>
                <w:sz w:val="23"/>
                <w:szCs w:val="23"/>
              </w:rPr>
              <w:t>Mandara</w:t>
            </w:r>
            <w:proofErr w:type="spellEnd"/>
            <w:r w:rsidRPr="00B614C1">
              <w:rPr>
                <w:rFonts w:ascii="Arial" w:eastAsia="Times New Roman" w:hAnsi="Arial" w:cs="Arial"/>
                <w:color w:val="000000"/>
                <w:sz w:val="23"/>
                <w:szCs w:val="23"/>
              </w:rPr>
              <w:t xml:space="preserve"> và 98 Trần Phú)</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3,0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Vị trí 1 của các đường loại 1, 2, 3 và đoạn còn lại của đường Trần Phú</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2,5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đường loại 4, 5, 6, 7, 8; Các vị trí còn lại của đường loại 1, 2, 3; Các vị trí còn lại của đường Trần Phú</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2,0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đảo thuộc thành phố Nha Trang</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1,2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1.2</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color w:val="000000"/>
                <w:sz w:val="23"/>
                <w:szCs w:val="23"/>
              </w:rPr>
              <w:t>Đất sản xuất kinh doanh phi nông nghiệp, thương mại dịch vụ</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xml:space="preserve">- Vị trí 1 của đường Trần Phú (đoạn từ Nam cầu Trần Phú đến hết Khách sạn Ana </w:t>
            </w:r>
            <w:proofErr w:type="spellStart"/>
            <w:r w:rsidRPr="00B614C1">
              <w:rPr>
                <w:rFonts w:ascii="Arial" w:eastAsia="Times New Roman" w:hAnsi="Arial" w:cs="Arial"/>
                <w:color w:val="000000"/>
                <w:sz w:val="23"/>
                <w:szCs w:val="23"/>
              </w:rPr>
              <w:t>Mandara</w:t>
            </w:r>
            <w:proofErr w:type="spellEnd"/>
            <w:r w:rsidRPr="00B614C1">
              <w:rPr>
                <w:rFonts w:ascii="Arial" w:eastAsia="Times New Roman" w:hAnsi="Arial" w:cs="Arial"/>
                <w:color w:val="000000"/>
                <w:sz w:val="23"/>
                <w:szCs w:val="23"/>
              </w:rPr>
              <w:t xml:space="preserve"> và 98 Trần Phú)</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4,0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Vị trí 1 của các đường loại 1, 2, 3 và đoạn còn lại của đường Trần Phú</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3,0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đường loại 4, 5, 6, 7, 8; Các vị trí còn lại của đường loại 1, 2, 3; Các vị trí còn lại của đường Trần Phú</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2,5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đảo thuộc thành phố Nha Trang</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1,2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2</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Thành phố Cam Ranh</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phường: Cam Nghĩa, Cam Phúc Bắc, Cam Phúc Nam, Cam Phú, Cam Thuận, Cam Lộc, Ba Ngòi, Cam Lợi và Cam Linh</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1,6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3</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Thị xã Ninh Hòa</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Phường Ninh Hiệp</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1,7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phường: Ninh Giang, Ninh Hà, Ninh Đa, Ninh Diêm, Ninh Thủy và Ninh Hải</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1,4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4</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Các huyện: Diên Khánh, Cam Lâm, Vạn Ninh, Khánh Sơn và Khánh Vĩnh</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Thị trấn Vạn Giã và Thị trấn Diên Khánh</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1,7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Thị trấn Cam Đức</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Vị trí 1 của đường loại 1</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1,7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vị trí còn lại của đường loại 1 và các loại 2, 3, 4, 5</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1,6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Thị trấn Tô Hạp và thị trấn Khánh Vĩnh</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1,2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color w:val="000000"/>
                <w:sz w:val="23"/>
                <w:szCs w:val="23"/>
              </w:rPr>
              <w:t>II</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color w:val="000000"/>
                <w:sz w:val="23"/>
                <w:szCs w:val="23"/>
              </w:rPr>
              <w:t>Đất ở và đất sản xuất kinh doanh phi nông nghiệp, thương mại dịch vụ tại nông thôn (bao gồm đất thuộc khu dân cư, khu đô thị nằm trên địa bàn xã, đất ven trục giao thông chính)</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1</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Thành phố Nha Trang</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xã thuộc thành phố Nha Trang</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2,0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2</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Thành phố Cam Ranh</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xã đồng bằng</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1,4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thôn, xã miền núi</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1,3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3</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Thị xã Ninh Hòa và các huyện: Diên Khánh, Vạn Ninh, Cam Lâm</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xã đồng bằng</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1,3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thôn, xã miền núi</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1,2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4</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Các huyện: Khánh Sơn và Khánh Vĩnh</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 </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Các thôn, xã miền núi</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1,0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color w:val="000000"/>
                <w:sz w:val="23"/>
                <w:szCs w:val="23"/>
              </w:rPr>
              <w:lastRenderedPageBreak/>
              <w:t>III</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color w:val="000000"/>
                <w:sz w:val="23"/>
                <w:szCs w:val="23"/>
              </w:rPr>
              <w:t>Đất ở và đất sản xuất kinh doanh phi nông nghiệp, thương mại dịch vụ trong Khu du lịch bắc bán đảo Cam Ranh</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1,1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color w:val="000000"/>
                <w:sz w:val="23"/>
                <w:szCs w:val="23"/>
              </w:rPr>
              <w:t>IV</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color w:val="000000"/>
                <w:sz w:val="23"/>
                <w:szCs w:val="23"/>
              </w:rPr>
              <w:t>Đất sản xuất kinh doanh phi nông nghiệp, thương mại dịch vụ để xây dựng khu công nghiệp, cụm công nghiệp; đất trong Cụm công nghiệp Diên Phú, Cụm Công nghiệp Đắc Lộc</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1,0 lần</w:t>
            </w:r>
          </w:p>
        </w:tc>
      </w:tr>
      <w:tr w:rsidR="008A6666" w:rsidRPr="00B614C1" w:rsidTr="00B32DF1">
        <w:tc>
          <w:tcPr>
            <w:tcW w:w="40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color w:val="000000"/>
                <w:sz w:val="23"/>
                <w:szCs w:val="23"/>
              </w:rPr>
              <w:t>V</w:t>
            </w:r>
          </w:p>
        </w:tc>
        <w:tc>
          <w:tcPr>
            <w:tcW w:w="3550" w:type="pct"/>
            <w:vAlign w:val="center"/>
            <w:hideMark/>
          </w:tcPr>
          <w:p w:rsidR="00B614C1"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color w:val="000000"/>
                <w:sz w:val="23"/>
                <w:szCs w:val="23"/>
              </w:rPr>
              <w:t>Đất ở và đất sản xuất kinh doanh phi nông nghiệp, thương mại dịch vụ trong Khu Kinh tế Vân Phong</w:t>
            </w:r>
          </w:p>
        </w:tc>
        <w:tc>
          <w:tcPr>
            <w:tcW w:w="950" w:type="pct"/>
            <w:vAlign w:val="center"/>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color w:val="000000"/>
                <w:sz w:val="23"/>
                <w:szCs w:val="23"/>
              </w:rPr>
              <w:t>K = 1,1 lần</w:t>
            </w:r>
          </w:p>
        </w:tc>
      </w:tr>
    </w:tbl>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Việc xác định các thôn, xã miền núi và đồng bằng căn cứ quy định tại Quyết định số </w:t>
      </w:r>
      <w:hyperlink r:id="rId20" w:tgtFrame="_blank" w:tooltip="Quyết định 30/2014/QĐ-UBND" w:history="1">
        <w:r w:rsidRPr="00B614C1">
          <w:rPr>
            <w:rFonts w:ascii="Arial" w:eastAsia="Times New Roman" w:hAnsi="Arial" w:cs="Arial"/>
            <w:color w:val="0000FF"/>
            <w:sz w:val="23"/>
          </w:rPr>
          <w:t>30/2014/QĐ-UBND</w:t>
        </w:r>
      </w:hyperlink>
      <w:r w:rsidRPr="00B614C1">
        <w:rPr>
          <w:rFonts w:ascii="Arial" w:eastAsia="Times New Roman" w:hAnsi="Arial" w:cs="Arial"/>
          <w:color w:val="000000"/>
          <w:sz w:val="23"/>
          <w:szCs w:val="23"/>
        </w:rPr>
        <w:t> ngày 21/12/2014 của UBND tỉnh Khánh Hòa về quy định giá các loại đất năm 2015 ổn định 5 năm từ 2015-2019 trên địa bàn tỉnh Khánh Hòa.</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Hệ số điều chỉnh giá đất đối với đất ở tại các khu tái định cư trên địa bàn tỉnh (trong trường hợp giao đất tái định cư theo giá thị trường) UBND tỉnh Khánh Hòa sẽ quyết định hệ số điều chỉnh giá đất cho từng dự án cụ thể.</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xml:space="preserve">Hệ số điều chỉnh giá đất quy định nêu trên chỉ áp dụng đối với thửa đất trong điều kiện bình thường, không bị hạn chế về quy hoạch, địa hình. Trường hợp thửa đất có địa hình đặc biệt, hoặc hạn chế về quy hoạch sử dụng đất thì điều chỉnh </w:t>
      </w:r>
      <w:proofErr w:type="spellStart"/>
      <w:r w:rsidRPr="00B614C1">
        <w:rPr>
          <w:rFonts w:ascii="Arial" w:eastAsia="Times New Roman" w:hAnsi="Arial" w:cs="Arial"/>
          <w:color w:val="000000"/>
          <w:sz w:val="23"/>
          <w:szCs w:val="23"/>
        </w:rPr>
        <w:t>tỷ</w:t>
      </w:r>
      <w:proofErr w:type="spellEnd"/>
      <w:r w:rsidRPr="00B614C1">
        <w:rPr>
          <w:rFonts w:ascii="Arial" w:eastAsia="Times New Roman" w:hAnsi="Arial" w:cs="Arial"/>
          <w:color w:val="000000"/>
          <w:sz w:val="23"/>
          <w:szCs w:val="23"/>
        </w:rPr>
        <w:t xml:space="preserve"> lệ tăng, giảm theo từng trường hợp cụ thể.</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color w:val="000000"/>
          <w:sz w:val="23"/>
          <w:szCs w:val="23"/>
        </w:rPr>
        <w:t>Điều 4. Điều khoản thi hành</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1. Quyết định này có hiệu lực từ ngày 01 tháng 01 năm 2018 đến hết ngày 31 tháng 12 năm 2018.</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2. Trong quá trình thực hiện, nếu phát sinh vướng mắc, các sở, ban, ngành và UBND các huyện, thị xã, thành phố kịp thời báo cáo phản ánh về Sở Tài chính để tổng hợp trình UBND tỉnh để xem xét, giải quyết</w:t>
      </w:r>
    </w:p>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color w:val="000000"/>
          <w:sz w:val="23"/>
          <w:szCs w:val="23"/>
        </w:rPr>
        <w:t>Điều 5.</w:t>
      </w:r>
      <w:r w:rsidRPr="00B614C1">
        <w:rPr>
          <w:rFonts w:ascii="Arial" w:eastAsia="Times New Roman" w:hAnsi="Arial" w:cs="Arial"/>
          <w:color w:val="000000"/>
          <w:sz w:val="23"/>
          <w:szCs w:val="23"/>
        </w:rPr>
        <w:t> Chánh Văn phòng UBND tỉnh, Giám đốc các Sở: Tài chính, Kế hoạch và Đầu tư, Tài nguyên và Môi trường, Xây dựng; Cục trưởng Cục Thuế tỉnh; Chủ tịch UBND các huyện, thị xã, thành phố; Trưởng Ban quản lý Khu Kinh tế Vận Phong; Thủ trưởng các sở, ban, ngành, các tổ chức và cá nhân có liên quan chịu trách nhiệm thi hành Quyết định này./.</w:t>
      </w:r>
    </w:p>
    <w:tbl>
      <w:tblPr>
        <w:tblW w:w="11872" w:type="dxa"/>
        <w:tblCellMar>
          <w:left w:w="0" w:type="dxa"/>
          <w:right w:w="0" w:type="dxa"/>
        </w:tblCellMar>
        <w:tblLook w:val="04A0"/>
      </w:tblPr>
      <w:tblGrid>
        <w:gridCol w:w="5936"/>
        <w:gridCol w:w="5936"/>
      </w:tblGrid>
      <w:tr w:rsidR="008A6666" w:rsidRPr="00B614C1" w:rsidTr="008A6666">
        <w:tc>
          <w:tcPr>
            <w:tcW w:w="5936" w:type="dxa"/>
            <w:hideMark/>
          </w:tcPr>
          <w:p w:rsidR="008A6666"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color w:val="000000"/>
                <w:sz w:val="23"/>
                <w:szCs w:val="23"/>
              </w:rPr>
              <w:t> </w:t>
            </w:r>
            <w:bookmarkStart w:id="0" w:name="ole_link2"/>
            <w:bookmarkStart w:id="1" w:name="ole_link1"/>
            <w:bookmarkEnd w:id="0"/>
            <w:bookmarkEnd w:id="1"/>
            <w:r w:rsidRPr="00B614C1">
              <w:rPr>
                <w:rFonts w:ascii="Arial" w:eastAsia="Times New Roman" w:hAnsi="Arial" w:cs="Arial"/>
                <w:color w:val="000000"/>
                <w:sz w:val="23"/>
                <w:szCs w:val="23"/>
              </w:rPr>
              <w:t> </w:t>
            </w:r>
          </w:p>
          <w:p w:rsidR="008A6666" w:rsidRPr="00B614C1" w:rsidRDefault="008A6666" w:rsidP="00B32DF1">
            <w:pPr>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i/>
                <w:iCs/>
                <w:color w:val="000000"/>
                <w:sz w:val="23"/>
                <w:szCs w:val="23"/>
              </w:rPr>
              <w:t>Nơi nhận:</w:t>
            </w:r>
          </w:p>
          <w:p w:rsidR="00B614C1" w:rsidRPr="00B614C1" w:rsidRDefault="008A6666" w:rsidP="008A6666">
            <w:pPr>
              <w:spacing w:after="100" w:afterAutospacing="1" w:line="240" w:lineRule="auto"/>
              <w:rPr>
                <w:rFonts w:ascii="Arial" w:eastAsia="Times New Roman" w:hAnsi="Arial" w:cs="Arial"/>
                <w:color w:val="000000"/>
                <w:sz w:val="23"/>
                <w:szCs w:val="23"/>
              </w:rPr>
            </w:pPr>
            <w:r w:rsidRPr="00B614C1">
              <w:rPr>
                <w:rFonts w:ascii="Arial" w:eastAsia="Times New Roman" w:hAnsi="Arial" w:cs="Arial"/>
                <w:color w:val="000000"/>
                <w:sz w:val="23"/>
                <w:szCs w:val="23"/>
              </w:rPr>
              <w:t>- Như Điều 5;</w:t>
            </w:r>
            <w:r w:rsidRPr="00B614C1">
              <w:rPr>
                <w:rFonts w:ascii="Arial" w:eastAsia="Times New Roman" w:hAnsi="Arial" w:cs="Arial"/>
                <w:color w:val="000000"/>
                <w:sz w:val="23"/>
                <w:szCs w:val="23"/>
              </w:rPr>
              <w:br/>
              <w:t>- Ủy ban thường vụ Quốc hội;</w:t>
            </w:r>
            <w:r w:rsidRPr="00B614C1">
              <w:rPr>
                <w:rFonts w:ascii="Arial" w:eastAsia="Times New Roman" w:hAnsi="Arial" w:cs="Arial"/>
                <w:color w:val="000000"/>
                <w:sz w:val="23"/>
                <w:szCs w:val="23"/>
              </w:rPr>
              <w:br/>
              <w:t>- Văn phòng Chính phủ;</w:t>
            </w:r>
            <w:r w:rsidRPr="00B614C1">
              <w:rPr>
                <w:rFonts w:ascii="Arial" w:eastAsia="Times New Roman" w:hAnsi="Arial" w:cs="Arial"/>
                <w:color w:val="000000"/>
                <w:sz w:val="23"/>
                <w:szCs w:val="23"/>
              </w:rPr>
              <w:br/>
              <w:t>- Bộ Tư pháp (Cục Kiểm tra văn bản);</w:t>
            </w:r>
            <w:r w:rsidRPr="00B614C1">
              <w:rPr>
                <w:rFonts w:ascii="Arial" w:eastAsia="Times New Roman" w:hAnsi="Arial" w:cs="Arial"/>
                <w:color w:val="000000"/>
                <w:sz w:val="23"/>
                <w:szCs w:val="23"/>
              </w:rPr>
              <w:br/>
              <w:t>- Vụ Pháp chế - Bộ Tài chính;</w:t>
            </w:r>
            <w:r w:rsidRPr="00B614C1">
              <w:rPr>
                <w:rFonts w:ascii="Arial" w:eastAsia="Times New Roman" w:hAnsi="Arial" w:cs="Arial"/>
                <w:color w:val="000000"/>
                <w:sz w:val="23"/>
                <w:szCs w:val="23"/>
              </w:rPr>
              <w:br/>
              <w:t>- Vụ Pháp chế - Bộ Tài nguyên và Môi trường;</w:t>
            </w:r>
            <w:r w:rsidRPr="00B614C1">
              <w:rPr>
                <w:rFonts w:ascii="Arial" w:eastAsia="Times New Roman" w:hAnsi="Arial" w:cs="Arial"/>
                <w:color w:val="000000"/>
                <w:sz w:val="23"/>
                <w:szCs w:val="23"/>
              </w:rPr>
              <w:br/>
              <w:t>- TT. Tỉnh ủy, HĐND và UBND tỉnh;</w:t>
            </w:r>
            <w:r w:rsidRPr="00B614C1">
              <w:rPr>
                <w:rFonts w:ascii="Arial" w:eastAsia="Times New Roman" w:hAnsi="Arial" w:cs="Arial"/>
                <w:color w:val="000000"/>
                <w:sz w:val="23"/>
                <w:szCs w:val="23"/>
              </w:rPr>
              <w:br/>
              <w:t>- Đoàn Đại biểu Quốc hội tỉnh;</w:t>
            </w:r>
            <w:r w:rsidRPr="00B614C1">
              <w:rPr>
                <w:rFonts w:ascii="Arial" w:eastAsia="Times New Roman" w:hAnsi="Arial" w:cs="Arial"/>
                <w:color w:val="000000"/>
                <w:sz w:val="23"/>
                <w:szCs w:val="23"/>
              </w:rPr>
              <w:br/>
              <w:t>- Các Đại biểu HĐND tỉnh;</w:t>
            </w:r>
            <w:r w:rsidRPr="00B614C1">
              <w:rPr>
                <w:rFonts w:ascii="Arial" w:eastAsia="Times New Roman" w:hAnsi="Arial" w:cs="Arial"/>
                <w:color w:val="000000"/>
                <w:sz w:val="23"/>
                <w:szCs w:val="23"/>
              </w:rPr>
              <w:br/>
              <w:t>- Ủy ban MTTQVN tỉnh;</w:t>
            </w:r>
            <w:r w:rsidRPr="00B614C1">
              <w:rPr>
                <w:rFonts w:ascii="Arial" w:eastAsia="Times New Roman" w:hAnsi="Arial" w:cs="Arial"/>
                <w:color w:val="000000"/>
                <w:sz w:val="23"/>
                <w:szCs w:val="23"/>
              </w:rPr>
              <w:br/>
              <w:t>- Đài PT-TH Khánh Hòa;</w:t>
            </w:r>
            <w:r w:rsidRPr="00B614C1">
              <w:rPr>
                <w:rFonts w:ascii="Arial" w:eastAsia="Times New Roman" w:hAnsi="Arial" w:cs="Arial"/>
                <w:color w:val="000000"/>
                <w:sz w:val="23"/>
                <w:szCs w:val="23"/>
              </w:rPr>
              <w:br/>
              <w:t>- Báo Khánh Hòa;</w:t>
            </w:r>
            <w:r w:rsidRPr="00B614C1">
              <w:rPr>
                <w:rFonts w:ascii="Arial" w:eastAsia="Times New Roman" w:hAnsi="Arial" w:cs="Arial"/>
                <w:color w:val="000000"/>
                <w:sz w:val="23"/>
                <w:szCs w:val="23"/>
              </w:rPr>
              <w:br/>
            </w:r>
            <w:r w:rsidRPr="00B614C1">
              <w:rPr>
                <w:rFonts w:ascii="Arial" w:eastAsia="Times New Roman" w:hAnsi="Arial" w:cs="Arial"/>
                <w:color w:val="000000"/>
                <w:sz w:val="23"/>
                <w:szCs w:val="23"/>
              </w:rPr>
              <w:lastRenderedPageBreak/>
              <w:t>- Trung tâm Công báo tỉnh;</w:t>
            </w:r>
            <w:r w:rsidRPr="00B614C1">
              <w:rPr>
                <w:rFonts w:ascii="Arial" w:eastAsia="Times New Roman" w:hAnsi="Arial" w:cs="Arial"/>
                <w:color w:val="000000"/>
                <w:sz w:val="23"/>
                <w:szCs w:val="23"/>
              </w:rPr>
              <w:br/>
              <w:t>- Lưu: VT, CVNCTH.</w:t>
            </w:r>
          </w:p>
        </w:tc>
        <w:tc>
          <w:tcPr>
            <w:tcW w:w="5936" w:type="dxa"/>
            <w:hideMark/>
          </w:tcPr>
          <w:p w:rsidR="00B614C1" w:rsidRPr="00B614C1" w:rsidRDefault="008A6666" w:rsidP="00B32DF1">
            <w:pPr>
              <w:spacing w:after="100" w:afterAutospacing="1" w:line="240" w:lineRule="auto"/>
              <w:jc w:val="center"/>
              <w:rPr>
                <w:rFonts w:ascii="Arial" w:eastAsia="Times New Roman" w:hAnsi="Arial" w:cs="Arial"/>
                <w:color w:val="000000"/>
                <w:sz w:val="23"/>
                <w:szCs w:val="23"/>
              </w:rPr>
            </w:pPr>
            <w:r w:rsidRPr="00B614C1">
              <w:rPr>
                <w:rFonts w:ascii="Arial" w:eastAsia="Times New Roman" w:hAnsi="Arial" w:cs="Arial"/>
                <w:b/>
                <w:bCs/>
                <w:color w:val="000000"/>
                <w:sz w:val="23"/>
                <w:szCs w:val="23"/>
              </w:rPr>
              <w:lastRenderedPageBreak/>
              <w:t>TM. ỦY BAN NHÂN DÂN</w:t>
            </w:r>
            <w:r w:rsidRPr="00B614C1">
              <w:rPr>
                <w:rFonts w:ascii="Arial" w:eastAsia="Times New Roman" w:hAnsi="Arial" w:cs="Arial"/>
                <w:b/>
                <w:bCs/>
                <w:color w:val="000000"/>
                <w:sz w:val="23"/>
                <w:szCs w:val="23"/>
              </w:rPr>
              <w:br/>
              <w:t>KT. CHỦ TỊCH</w:t>
            </w:r>
            <w:r w:rsidRPr="00B614C1">
              <w:rPr>
                <w:rFonts w:ascii="Arial" w:eastAsia="Times New Roman" w:hAnsi="Arial" w:cs="Arial"/>
                <w:b/>
                <w:bCs/>
                <w:color w:val="000000"/>
                <w:sz w:val="23"/>
                <w:szCs w:val="23"/>
              </w:rPr>
              <w:br/>
              <w:t>PHÓ CHỦ TỊCH</w:t>
            </w:r>
            <w:r w:rsidRPr="00B614C1">
              <w:rPr>
                <w:rFonts w:ascii="Arial" w:eastAsia="Times New Roman" w:hAnsi="Arial" w:cs="Arial"/>
                <w:b/>
                <w:bCs/>
                <w:color w:val="000000"/>
                <w:sz w:val="23"/>
                <w:szCs w:val="23"/>
              </w:rPr>
              <w:br/>
            </w:r>
            <w:r w:rsidRPr="00B614C1">
              <w:rPr>
                <w:rFonts w:ascii="Arial" w:eastAsia="Times New Roman" w:hAnsi="Arial" w:cs="Arial"/>
                <w:b/>
                <w:bCs/>
                <w:color w:val="000000"/>
                <w:sz w:val="23"/>
                <w:szCs w:val="23"/>
              </w:rPr>
              <w:br/>
            </w:r>
            <w:r w:rsidRPr="00B614C1">
              <w:rPr>
                <w:rFonts w:ascii="Arial" w:eastAsia="Times New Roman" w:hAnsi="Arial" w:cs="Arial"/>
                <w:b/>
                <w:bCs/>
                <w:color w:val="000000"/>
                <w:sz w:val="23"/>
                <w:szCs w:val="23"/>
              </w:rPr>
              <w:br/>
            </w:r>
            <w:r w:rsidRPr="00B614C1">
              <w:rPr>
                <w:rFonts w:ascii="Arial" w:eastAsia="Times New Roman" w:hAnsi="Arial" w:cs="Arial"/>
                <w:b/>
                <w:bCs/>
                <w:color w:val="000000"/>
                <w:sz w:val="23"/>
                <w:szCs w:val="23"/>
              </w:rPr>
              <w:br/>
            </w:r>
            <w:r w:rsidRPr="00B614C1">
              <w:rPr>
                <w:rFonts w:ascii="Arial" w:eastAsia="Times New Roman" w:hAnsi="Arial" w:cs="Arial"/>
                <w:b/>
                <w:bCs/>
                <w:color w:val="000000"/>
                <w:sz w:val="23"/>
                <w:szCs w:val="23"/>
              </w:rPr>
              <w:br/>
              <w:t>Đào Công Thiên</w:t>
            </w:r>
          </w:p>
        </w:tc>
      </w:tr>
    </w:tbl>
    <w:p w:rsidR="008A6666" w:rsidRPr="00B614C1" w:rsidRDefault="008A6666" w:rsidP="008A6666">
      <w:pPr>
        <w:shd w:val="clear" w:color="auto" w:fill="FEFAF4"/>
        <w:spacing w:after="100" w:afterAutospacing="1" w:line="240" w:lineRule="auto"/>
        <w:jc w:val="both"/>
        <w:rPr>
          <w:rFonts w:ascii="Arial" w:eastAsia="Times New Roman" w:hAnsi="Arial" w:cs="Arial"/>
          <w:color w:val="000000"/>
          <w:sz w:val="23"/>
          <w:szCs w:val="23"/>
        </w:rPr>
      </w:pPr>
      <w:r w:rsidRPr="00B614C1">
        <w:rPr>
          <w:rFonts w:ascii="Arial" w:eastAsia="Times New Roman" w:hAnsi="Arial" w:cs="Arial"/>
          <w:b/>
          <w:bCs/>
          <w:color w:val="000000"/>
          <w:sz w:val="23"/>
          <w:szCs w:val="23"/>
        </w:rPr>
        <w:lastRenderedPageBreak/>
        <w:t> </w:t>
      </w:r>
    </w:p>
    <w:p w:rsidR="008A6666" w:rsidRDefault="008A6666" w:rsidP="008A6666"/>
    <w:p w:rsidR="00F34251" w:rsidRDefault="00F34251"/>
    <w:sectPr w:rsidR="00F34251" w:rsidSect="00B614C1">
      <w:pgSz w:w="12240" w:h="15840"/>
      <w:pgMar w:top="1440" w:right="900"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8A6666"/>
    <w:rsid w:val="008A6666"/>
    <w:rsid w:val="00F342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6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thongphapluat.com/docs/go/d2f3b963431f9c54c35b8b7f542a53d5/" TargetMode="External"/><Relationship Id="rId13" Type="http://schemas.openxmlformats.org/officeDocument/2006/relationships/hyperlink" Target="https://hethongphapluat.com/docs/go/5cc045261898f9cb9bac0dc8086ef28a/" TargetMode="External"/><Relationship Id="rId18" Type="http://schemas.openxmlformats.org/officeDocument/2006/relationships/hyperlink" Target="https://hethongphapluat.com/docs/go/612fb5a817fb078c66f7ebf403e1c05c/"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hethongphapluat.com/docs/go/e2f2347b78c3ad79e887ea52120000e8/" TargetMode="External"/><Relationship Id="rId12" Type="http://schemas.openxmlformats.org/officeDocument/2006/relationships/hyperlink" Target="https://hethongphapluat.com/docs/go/3f349c4da26dfb356324ce39dcfe103b/" TargetMode="External"/><Relationship Id="rId17" Type="http://schemas.openxmlformats.org/officeDocument/2006/relationships/hyperlink" Target="https://hethongphapluat.com/docs/go/e395bcdee25745ab1346b4032ba824ac/" TargetMode="External"/><Relationship Id="rId2" Type="http://schemas.openxmlformats.org/officeDocument/2006/relationships/settings" Target="settings.xml"/><Relationship Id="rId16" Type="http://schemas.openxmlformats.org/officeDocument/2006/relationships/hyperlink" Target="https://hethongphapluat.com/docs/go/1cf3d5443a501681723b9a81e30c3975/" TargetMode="External"/><Relationship Id="rId20" Type="http://schemas.openxmlformats.org/officeDocument/2006/relationships/hyperlink" Target="https://hethongphapluat.com/docs/go/b730d6d5761c92a021620efaebb6bb79/" TargetMode="External"/><Relationship Id="rId1" Type="http://schemas.openxmlformats.org/officeDocument/2006/relationships/styles" Target="styles.xml"/><Relationship Id="rId6" Type="http://schemas.openxmlformats.org/officeDocument/2006/relationships/hyperlink" Target="https://hethongphapluat.com/docs/go/9863c12bf557fabe5eda9c5a3b188bef/" TargetMode="External"/><Relationship Id="rId11" Type="http://schemas.openxmlformats.org/officeDocument/2006/relationships/hyperlink" Target="https://hethongphapluat.com/docs/go/ad4f66bddb19f9a66e945a9272c2b630/" TargetMode="External"/><Relationship Id="rId5" Type="http://schemas.openxmlformats.org/officeDocument/2006/relationships/hyperlink" Target="https://hethongphapluat.com/docs/go/1cf3d5443a501681723b9a81e30c3975/" TargetMode="External"/><Relationship Id="rId15" Type="http://schemas.openxmlformats.org/officeDocument/2006/relationships/hyperlink" Target="https://hethongphapluat.com/docs/go/f0a566800212889ccf8dd3bbf2576254/" TargetMode="External"/><Relationship Id="rId10" Type="http://schemas.openxmlformats.org/officeDocument/2006/relationships/hyperlink" Target="https://hethongphapluat.com/docs/go/5cc045261898f9cb9bac0dc8086ef28a/" TargetMode="External"/><Relationship Id="rId19" Type="http://schemas.openxmlformats.org/officeDocument/2006/relationships/hyperlink" Target="https://hethongphapluat.com/docs/go/9863c12bf557fabe5eda9c5a3b188bef/" TargetMode="External"/><Relationship Id="rId4" Type="http://schemas.openxmlformats.org/officeDocument/2006/relationships/hyperlink" Target="https://hethongphapluat.com/docs/go/184526c6874003cba3e176ce6e2e6b2d/" TargetMode="External"/><Relationship Id="rId9" Type="http://schemas.openxmlformats.org/officeDocument/2006/relationships/hyperlink" Target="https://hethongphapluat.com/docs/go/3f349c4da26dfb356324ce39dcfe103b/" TargetMode="External"/><Relationship Id="rId14" Type="http://schemas.openxmlformats.org/officeDocument/2006/relationships/hyperlink" Target="https://hethongphapluat.com/docs/go/1cf3d5443a501681723b9a81e30c397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1975</Words>
  <Characters>11259</Characters>
  <Application>Microsoft Office Word</Application>
  <DocSecurity>0</DocSecurity>
  <Lines>93</Lines>
  <Paragraphs>26</Paragraphs>
  <ScaleCrop>false</ScaleCrop>
  <Company/>
  <LinksUpToDate>false</LinksUpToDate>
  <CharactersWithSpaces>13208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2020-12-09T02:51:00Z</dcterms:created>
  <dcterms:modified xsi:type="dcterms:W3CDTF">2020-12-09T02:55:00Z</dcterms:modified>
</cp:coreProperties>
</file>